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95615" w14:textId="77777777" w:rsidR="00622DEB" w:rsidRPr="00850A36" w:rsidRDefault="00622DEB" w:rsidP="00622DEB">
      <w:pPr>
        <w:pStyle w:val="Heading1"/>
        <w:rPr>
          <w:sz w:val="18"/>
          <w:szCs w:val="18"/>
          <w:rtl/>
        </w:rPr>
      </w:pPr>
      <w:r w:rsidRPr="00850A36">
        <w:rPr>
          <w:rFonts w:ascii="Arial" w:hAnsi="Arial" w:cs="Arial" w:hint="cs"/>
          <w:sz w:val="18"/>
          <w:szCs w:val="18"/>
          <w:u w:val="single"/>
          <w:rtl/>
        </w:rPr>
        <w:t>הוראות התקנה לפסי ניקוז שוני</w:t>
      </w:r>
    </w:p>
    <w:p w14:paraId="37C95616" w14:textId="77777777" w:rsidR="00622DEB" w:rsidRPr="00441C53" w:rsidRDefault="00622DEB" w:rsidP="00622DEB">
      <w:pPr>
        <w:bidi/>
        <w:jc w:val="both"/>
        <w:rPr>
          <w:sz w:val="18"/>
          <w:szCs w:val="18"/>
          <w:rtl/>
          <w:lang w:eastAsia="he-IL" w:bidi="he-IL"/>
        </w:rPr>
      </w:pPr>
    </w:p>
    <w:p w14:paraId="37C95617" w14:textId="77777777" w:rsidR="00622DEB" w:rsidRPr="00441C53" w:rsidRDefault="00622DEB" w:rsidP="00622DEB">
      <w:pPr>
        <w:bidi/>
        <w:rPr>
          <w:rFonts w:ascii="Tahoma" w:hAnsi="Tahoma" w:cs="Tahoma"/>
          <w:sz w:val="18"/>
          <w:szCs w:val="18"/>
          <w:rtl/>
        </w:rPr>
      </w:pPr>
      <w:r w:rsidRPr="00441C53">
        <w:rPr>
          <w:rFonts w:ascii="Tahoma" w:hAnsi="Tahoma" w:cs="Tahoma"/>
          <w:sz w:val="18"/>
          <w:szCs w:val="18"/>
          <w:rtl/>
        </w:rPr>
        <w:t>המוצר נמכר כפס המונח על תעלת הניקוז ומתאם סיליקון ביציאת המים, תעלת הניקוז מיועדת להתקנה ברצפת המקלחת.</w:t>
      </w:r>
    </w:p>
    <w:p w14:paraId="37C95618" w14:textId="77777777" w:rsidR="00622DEB" w:rsidRPr="00441C53" w:rsidRDefault="00622DEB" w:rsidP="00622DEB">
      <w:pPr>
        <w:bidi/>
        <w:rPr>
          <w:rFonts w:ascii="Tahoma" w:hAnsi="Tahoma" w:cs="Tahoma"/>
          <w:sz w:val="18"/>
          <w:szCs w:val="18"/>
          <w:rtl/>
          <w:lang w:bidi="he-IL"/>
        </w:rPr>
      </w:pPr>
      <w:r w:rsidRPr="00441C53">
        <w:rPr>
          <w:rFonts w:ascii="Tahoma" w:hAnsi="Tahoma" w:cs="Tahoma"/>
          <w:sz w:val="18"/>
          <w:szCs w:val="18"/>
          <w:rtl/>
        </w:rPr>
        <w:t>מומלץ לחבר לתעלה מחסום רצפה פלסטי 50/140 מ"מ תוצרת חרסה-</w:t>
      </w:r>
      <w:r w:rsidRPr="00441C53">
        <w:rPr>
          <w:rFonts w:ascii="Tahoma" w:hAnsi="Tahoma" w:cs="Tahoma" w:hint="cs"/>
          <w:sz w:val="18"/>
          <w:szCs w:val="18"/>
          <w:rtl/>
          <w:lang w:bidi="he-IL"/>
        </w:rPr>
        <w:t xml:space="preserve"> ל</w:t>
      </w:r>
      <w:r w:rsidRPr="00441C53">
        <w:rPr>
          <w:rFonts w:ascii="Tahoma" w:hAnsi="Tahoma" w:cs="Tahoma"/>
          <w:sz w:val="18"/>
          <w:szCs w:val="18"/>
          <w:rtl/>
        </w:rPr>
        <w:t>יפסקי,</w:t>
      </w:r>
      <w:r w:rsidRPr="00441C53">
        <w:rPr>
          <w:rFonts w:ascii="Tahoma" w:hAnsi="Tahoma" w:cs="Tahoma" w:hint="cs"/>
          <w:sz w:val="18"/>
          <w:szCs w:val="18"/>
          <w:rtl/>
          <w:lang w:bidi="he-IL"/>
        </w:rPr>
        <w:t xml:space="preserve"> </w:t>
      </w:r>
      <w:r w:rsidRPr="00441C53">
        <w:rPr>
          <w:rFonts w:ascii="Tahoma" w:hAnsi="Tahoma" w:cs="Tahoma"/>
          <w:sz w:val="18"/>
          <w:szCs w:val="18"/>
          <w:rtl/>
        </w:rPr>
        <w:t>את מחסום הרצפה ניתן לרכוש בנפרד בחנויות האינסטלציה כחלק מאביזרי הצנרת.</w:t>
      </w:r>
    </w:p>
    <w:p w14:paraId="37C95619" w14:textId="77777777" w:rsidR="00622DEB" w:rsidRPr="00441C53" w:rsidRDefault="00622DEB" w:rsidP="00622DEB">
      <w:pPr>
        <w:bidi/>
        <w:rPr>
          <w:rFonts w:ascii="Tahoma" w:hAnsi="Tahoma" w:cs="Tahoma"/>
          <w:sz w:val="18"/>
          <w:szCs w:val="18"/>
          <w:rtl/>
        </w:rPr>
      </w:pPr>
      <w:r w:rsidRPr="00441C53">
        <w:rPr>
          <w:rFonts w:ascii="Tahoma" w:hAnsi="Tahoma" w:cs="Tahoma"/>
          <w:sz w:val="18"/>
          <w:szCs w:val="18"/>
          <w:rtl/>
        </w:rPr>
        <w:t>למוצר התאמה לדרישות התקן הישראלי ת"י 5694.</w:t>
      </w:r>
    </w:p>
    <w:p w14:paraId="37C9561A" w14:textId="77777777" w:rsidR="00622DEB" w:rsidRPr="00441C53" w:rsidRDefault="00622DEB" w:rsidP="00622DEB">
      <w:pPr>
        <w:bidi/>
        <w:rPr>
          <w:rFonts w:ascii="Tahoma" w:hAnsi="Tahoma" w:cs="Tahoma"/>
          <w:sz w:val="18"/>
          <w:szCs w:val="18"/>
          <w:rtl/>
        </w:rPr>
      </w:pPr>
    </w:p>
    <w:p w14:paraId="37C9561B" w14:textId="77777777" w:rsidR="00622DEB" w:rsidRPr="00441C53" w:rsidRDefault="00622DEB" w:rsidP="00622DEB">
      <w:pPr>
        <w:pStyle w:val="Heading2"/>
        <w:rPr>
          <w:rFonts w:ascii="Tahoma" w:hAnsi="Tahoma" w:cs="Tahoma"/>
          <w:sz w:val="18"/>
          <w:szCs w:val="18"/>
          <w:rtl/>
        </w:rPr>
      </w:pPr>
      <w:r w:rsidRPr="00441C53">
        <w:rPr>
          <w:rFonts w:ascii="Tahoma" w:hAnsi="Tahoma" w:cs="Tahoma"/>
          <w:sz w:val="18"/>
          <w:szCs w:val="18"/>
          <w:rtl/>
        </w:rPr>
        <w:t>פס ניקוז</w:t>
      </w:r>
    </w:p>
    <w:p w14:paraId="37C9561C" w14:textId="77777777" w:rsidR="00622DEB" w:rsidRPr="00441C53" w:rsidRDefault="00622DEB" w:rsidP="00622DEB">
      <w:pPr>
        <w:bidi/>
        <w:rPr>
          <w:rFonts w:ascii="Tahoma" w:hAnsi="Tahoma" w:cs="Tahoma"/>
          <w:sz w:val="18"/>
          <w:szCs w:val="18"/>
          <w:rtl/>
        </w:rPr>
      </w:pPr>
      <w:r w:rsidRPr="00441C53">
        <w:rPr>
          <w:rFonts w:ascii="Tahoma" w:hAnsi="Tahoma" w:cs="Tahoma"/>
          <w:noProof/>
          <w:sz w:val="18"/>
          <w:szCs w:val="18"/>
          <w:rtl/>
          <w:lang w:bidi="he-IL"/>
        </w:rPr>
        <w:drawing>
          <wp:inline distT="0" distB="0" distL="0" distR="0" wp14:anchorId="37C95627" wp14:editId="37C95628">
            <wp:extent cx="2895600" cy="1104900"/>
            <wp:effectExtent l="0" t="0" r="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9561D" w14:textId="77777777" w:rsidR="00622DEB" w:rsidRPr="00441C53" w:rsidRDefault="00622DEB" w:rsidP="00622DEB">
      <w:pPr>
        <w:pStyle w:val="Heading2"/>
        <w:rPr>
          <w:rFonts w:ascii="Tahoma" w:hAnsi="Tahoma" w:cs="Tahoma"/>
          <w:sz w:val="18"/>
          <w:szCs w:val="18"/>
          <w:rtl/>
        </w:rPr>
      </w:pPr>
      <w:r w:rsidRPr="00441C53">
        <w:rPr>
          <w:rFonts w:ascii="Tahoma" w:hAnsi="Tahoma" w:cs="Tahoma"/>
          <w:sz w:val="18"/>
          <w:szCs w:val="18"/>
          <w:rtl/>
        </w:rPr>
        <w:t>מתאם סיליקון</w:t>
      </w:r>
    </w:p>
    <w:p w14:paraId="37C9561E" w14:textId="77777777" w:rsidR="00622DEB" w:rsidRPr="00441C53" w:rsidRDefault="00622DEB" w:rsidP="00622DEB">
      <w:pPr>
        <w:bidi/>
        <w:rPr>
          <w:rFonts w:ascii="Tahoma" w:hAnsi="Tahoma" w:cs="Tahoma"/>
          <w:sz w:val="18"/>
          <w:szCs w:val="18"/>
          <w:rtl/>
        </w:rPr>
      </w:pPr>
      <w:r w:rsidRPr="00441C53">
        <w:rPr>
          <w:rFonts w:ascii="Tahoma" w:hAnsi="Tahoma" w:cs="Tahoma"/>
          <w:noProof/>
          <w:sz w:val="18"/>
          <w:szCs w:val="18"/>
          <w:rtl/>
          <w:lang w:bidi="he-IL"/>
        </w:rPr>
        <w:drawing>
          <wp:inline distT="0" distB="0" distL="0" distR="0" wp14:anchorId="37C95629" wp14:editId="37C9562A">
            <wp:extent cx="1371600" cy="1076325"/>
            <wp:effectExtent l="0" t="0" r="0" b="9525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9561F" w14:textId="77777777" w:rsidR="00622DEB" w:rsidRPr="00441C53" w:rsidRDefault="00622DEB" w:rsidP="00622DEB">
      <w:pPr>
        <w:pStyle w:val="Heading2"/>
        <w:rPr>
          <w:rFonts w:ascii="Tahoma" w:hAnsi="Tahoma" w:cs="Tahoma"/>
          <w:sz w:val="18"/>
          <w:szCs w:val="18"/>
          <w:rtl/>
        </w:rPr>
      </w:pPr>
      <w:r w:rsidRPr="00441C53">
        <w:rPr>
          <w:rFonts w:ascii="Tahoma" w:hAnsi="Tahoma" w:cs="Tahoma"/>
          <w:sz w:val="18"/>
          <w:szCs w:val="18"/>
          <w:rtl/>
        </w:rPr>
        <w:t>מחסום רצפה של חרסה ניתן לרכוש בחנויות האינסטלציה</w:t>
      </w:r>
    </w:p>
    <w:p w14:paraId="37C95620" w14:textId="77777777" w:rsidR="00622DEB" w:rsidRPr="00441C53" w:rsidRDefault="00622DEB" w:rsidP="00622DEB">
      <w:pPr>
        <w:pStyle w:val="Header"/>
        <w:bidi/>
        <w:rPr>
          <w:rFonts w:ascii="Tahoma" w:hAnsi="Tahoma" w:cs="Tahoma"/>
          <w:sz w:val="18"/>
          <w:szCs w:val="18"/>
          <w:rtl/>
        </w:rPr>
      </w:pPr>
      <w:r w:rsidRPr="00441C53">
        <w:rPr>
          <w:rFonts w:ascii="Tahoma" w:hAnsi="Tahoma" w:cs="Tahoma"/>
          <w:noProof/>
          <w:sz w:val="18"/>
          <w:szCs w:val="18"/>
          <w:rtl/>
          <w:lang w:bidi="he-IL"/>
        </w:rPr>
        <w:drawing>
          <wp:inline distT="0" distB="0" distL="0" distR="0" wp14:anchorId="37C9562B" wp14:editId="37C9562C">
            <wp:extent cx="1276350" cy="1333500"/>
            <wp:effectExtent l="0" t="0" r="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C53">
        <w:rPr>
          <w:rFonts w:ascii="Tahoma" w:hAnsi="Tahoma" w:cs="Tahoma"/>
          <w:sz w:val="18"/>
          <w:szCs w:val="18"/>
          <w:rtl/>
        </w:rPr>
        <w:t xml:space="preserve">        </w:t>
      </w:r>
      <w:r w:rsidRPr="00441C53">
        <w:rPr>
          <w:rFonts w:ascii="Tahoma" w:hAnsi="Tahoma" w:cs="Tahoma"/>
          <w:noProof/>
          <w:sz w:val="18"/>
          <w:szCs w:val="18"/>
          <w:lang w:bidi="he-IL"/>
        </w:rPr>
        <w:drawing>
          <wp:inline distT="0" distB="0" distL="0" distR="0" wp14:anchorId="37C9562D" wp14:editId="37C9562E">
            <wp:extent cx="1752600" cy="1314450"/>
            <wp:effectExtent l="0" t="0" r="0" b="0"/>
            <wp:docPr id="11" name="תמונה 11" descr="20140825_14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D731C4-E3C8-433E-8354-594C7F73F039" descr="20140825_142445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C53">
        <w:rPr>
          <w:rFonts w:ascii="Tahoma" w:hAnsi="Tahoma" w:cs="Tahoma"/>
          <w:sz w:val="18"/>
          <w:szCs w:val="18"/>
          <w:rtl/>
        </w:rPr>
        <w:t xml:space="preserve">       </w:t>
      </w:r>
    </w:p>
    <w:p w14:paraId="37C95621" w14:textId="77777777" w:rsidR="00622DEB" w:rsidRPr="00441C53" w:rsidRDefault="00622DEB" w:rsidP="00622DEB">
      <w:pPr>
        <w:numPr>
          <w:ilvl w:val="0"/>
          <w:numId w:val="1"/>
        </w:numPr>
        <w:bidi/>
        <w:ind w:right="2880"/>
        <w:rPr>
          <w:rFonts w:ascii="Tahoma" w:hAnsi="Tahoma" w:cs="Tahoma"/>
          <w:sz w:val="18"/>
          <w:szCs w:val="18"/>
        </w:rPr>
      </w:pPr>
      <w:r w:rsidRPr="00441C53">
        <w:rPr>
          <w:rFonts w:ascii="Tahoma" w:hAnsi="Tahoma" w:cs="Tahoma"/>
          <w:sz w:val="18"/>
          <w:szCs w:val="18"/>
          <w:rtl/>
        </w:rPr>
        <w:t>וודא שבתוך מחסום הרצפה קיים חוסם ריחות תקני.</w:t>
      </w:r>
    </w:p>
    <w:p w14:paraId="37C95622" w14:textId="77777777" w:rsidR="00622DEB" w:rsidRPr="00441C53" w:rsidRDefault="00622DEB" w:rsidP="00622DEB">
      <w:pPr>
        <w:numPr>
          <w:ilvl w:val="0"/>
          <w:numId w:val="1"/>
        </w:numPr>
        <w:bidi/>
        <w:ind w:right="2880"/>
        <w:rPr>
          <w:rFonts w:ascii="Tahoma" w:hAnsi="Tahoma" w:cs="Tahoma"/>
          <w:sz w:val="18"/>
          <w:szCs w:val="18"/>
        </w:rPr>
      </w:pPr>
      <w:r w:rsidRPr="00441C53">
        <w:rPr>
          <w:rFonts w:ascii="Tahoma" w:hAnsi="Tahoma" w:cs="Tahoma"/>
          <w:sz w:val="18"/>
          <w:szCs w:val="18"/>
          <w:rtl/>
        </w:rPr>
        <w:t>חבר בלחיצה את מתאם הסיליקון אל מחסום הרצפה.</w:t>
      </w:r>
    </w:p>
    <w:p w14:paraId="37C95623" w14:textId="77777777" w:rsidR="00622DEB" w:rsidRPr="00441C53" w:rsidRDefault="00622DEB" w:rsidP="00622DEB">
      <w:pPr>
        <w:numPr>
          <w:ilvl w:val="0"/>
          <w:numId w:val="1"/>
        </w:numPr>
        <w:bidi/>
        <w:ind w:right="2880"/>
        <w:rPr>
          <w:rFonts w:ascii="Tahoma" w:hAnsi="Tahoma" w:cs="Tahoma"/>
          <w:sz w:val="18"/>
          <w:szCs w:val="18"/>
        </w:rPr>
      </w:pPr>
      <w:r w:rsidRPr="00441C53">
        <w:rPr>
          <w:rFonts w:ascii="Tahoma" w:hAnsi="Tahoma" w:cs="Tahoma"/>
          <w:sz w:val="18"/>
          <w:szCs w:val="18"/>
          <w:rtl/>
        </w:rPr>
        <w:t>האחריות על המוצר מותנת בהתקנה על פי ההוראות הנ"ל.</w:t>
      </w:r>
    </w:p>
    <w:p w14:paraId="37C95624" w14:textId="77777777" w:rsidR="00622DEB" w:rsidRPr="00441C53" w:rsidRDefault="00622DEB" w:rsidP="00622DEB">
      <w:pPr>
        <w:bidi/>
        <w:ind w:right="2880"/>
        <w:rPr>
          <w:rFonts w:ascii="Tahoma" w:hAnsi="Tahoma" w:cs="Tahoma"/>
          <w:sz w:val="18"/>
          <w:szCs w:val="18"/>
          <w:rtl/>
        </w:rPr>
      </w:pPr>
    </w:p>
    <w:p w14:paraId="37C95625" w14:textId="77777777" w:rsidR="00622DEB" w:rsidRPr="00441C53" w:rsidRDefault="00622DEB" w:rsidP="00622DEB">
      <w:pPr>
        <w:bidi/>
        <w:ind w:right="2880"/>
        <w:rPr>
          <w:rFonts w:ascii="Tahoma" w:hAnsi="Tahoma" w:cs="Tahoma"/>
          <w:sz w:val="18"/>
          <w:szCs w:val="18"/>
        </w:rPr>
      </w:pPr>
      <w:r w:rsidRPr="00441C53">
        <w:rPr>
          <w:rFonts w:ascii="Tahoma" w:hAnsi="Tahoma" w:cs="Tahoma"/>
          <w:sz w:val="18"/>
          <w:szCs w:val="18"/>
          <w:rtl/>
        </w:rPr>
        <w:t>מצורף לינק להמחשת ההתקנה :</w:t>
      </w:r>
    </w:p>
    <w:p w14:paraId="37C95626" w14:textId="30D7B416" w:rsidR="00622DEB" w:rsidRPr="00441C53" w:rsidRDefault="00622DEB" w:rsidP="00622DEB">
      <w:pPr>
        <w:bidi/>
        <w:rPr>
          <w:rFonts w:ascii="Tahoma" w:hAnsi="Tahoma" w:cs="Tahoma"/>
          <w:sz w:val="18"/>
          <w:szCs w:val="18"/>
          <w:rtl/>
          <w:lang w:bidi="he-IL"/>
        </w:rPr>
      </w:pPr>
      <w:r w:rsidRPr="00441C53">
        <w:rPr>
          <w:rFonts w:ascii="Tahoma" w:hAnsi="Tahoma" w:cs="Tahoma"/>
          <w:sz w:val="18"/>
          <w:szCs w:val="18"/>
          <w:rtl/>
        </w:rPr>
        <w:t>‏</w:t>
      </w:r>
      <w:r w:rsidRPr="00441C53">
        <w:rPr>
          <w:rFonts w:ascii="Tahoma" w:hAnsi="Tahoma" w:cs="Tahoma"/>
          <w:sz w:val="18"/>
          <w:szCs w:val="18"/>
        </w:rPr>
        <w:t>http://bit.ly/1MpunLi</w:t>
      </w:r>
    </w:p>
    <w:p w14:paraId="6B8119A2" w14:textId="77777777" w:rsidR="00441C53" w:rsidRDefault="00441C53" w:rsidP="00441C53">
      <w:pPr>
        <w:bidi/>
        <w:rPr>
          <w:rFonts w:ascii="Tahoma" w:hAnsi="Tahoma" w:cs="Tahoma"/>
          <w:sz w:val="18"/>
          <w:szCs w:val="18"/>
          <w:rtl/>
        </w:rPr>
      </w:pPr>
    </w:p>
    <w:p w14:paraId="0F835346" w14:textId="7750A2C3" w:rsidR="00441C53" w:rsidRPr="00441C53" w:rsidRDefault="00441C53" w:rsidP="00441C53">
      <w:pPr>
        <w:bidi/>
        <w:rPr>
          <w:rFonts w:ascii="Tahoma" w:hAnsi="Tahoma" w:cs="Tahoma"/>
          <w:sz w:val="18"/>
          <w:szCs w:val="18"/>
          <w:lang w:bidi="he-IL"/>
        </w:rPr>
      </w:pPr>
      <w:r w:rsidRPr="00441C53">
        <w:rPr>
          <w:rFonts w:ascii="Tahoma" w:hAnsi="Tahoma" w:cs="Tahoma"/>
          <w:sz w:val="18"/>
          <w:szCs w:val="18"/>
          <w:rtl/>
        </w:rPr>
        <w:t>על מנת למנוע חלודה וקורוזיה בתעלת הניקוז:</w:t>
      </w:r>
    </w:p>
    <w:p w14:paraId="3C1E5BE1" w14:textId="77777777" w:rsidR="00441C53" w:rsidRPr="00441C53" w:rsidRDefault="00441C53" w:rsidP="00441C53">
      <w:pPr>
        <w:pStyle w:val="ListParagraph"/>
        <w:numPr>
          <w:ilvl w:val="0"/>
          <w:numId w:val="2"/>
        </w:numPr>
        <w:bidi/>
        <w:rPr>
          <w:rFonts w:ascii="Tahoma" w:eastAsiaTheme="minorEastAsia" w:hAnsi="Tahoma" w:cs="Tahoma"/>
          <w:sz w:val="18"/>
          <w:szCs w:val="18"/>
          <w:rtl/>
        </w:rPr>
      </w:pPr>
      <w:r w:rsidRPr="00441C53">
        <w:rPr>
          <w:rFonts w:ascii="Tahoma" w:eastAsiaTheme="minorEastAsia" w:hAnsi="Tahoma" w:cs="Tahoma"/>
          <w:sz w:val="18"/>
          <w:szCs w:val="18"/>
          <w:rtl/>
        </w:rPr>
        <w:t xml:space="preserve">אין לשפוך חומרים חריפים על התעלה, כגון חומצות ומסיר שומנים. </w:t>
      </w:r>
    </w:p>
    <w:p w14:paraId="73B78A19" w14:textId="77777777" w:rsidR="00441C53" w:rsidRPr="00441C53" w:rsidRDefault="00441C53" w:rsidP="00441C53">
      <w:pPr>
        <w:pStyle w:val="ListParagraph"/>
        <w:numPr>
          <w:ilvl w:val="0"/>
          <w:numId w:val="2"/>
        </w:numPr>
        <w:bidi/>
        <w:rPr>
          <w:rFonts w:ascii="Tahoma" w:eastAsiaTheme="minorEastAsia" w:hAnsi="Tahoma" w:cs="Tahoma" w:hint="cs"/>
          <w:sz w:val="18"/>
          <w:szCs w:val="18"/>
          <w:rtl/>
        </w:rPr>
      </w:pPr>
      <w:r w:rsidRPr="00441C53">
        <w:rPr>
          <w:rFonts w:ascii="Tahoma" w:eastAsiaTheme="minorEastAsia" w:hAnsi="Tahoma" w:cs="Tahoma"/>
          <w:sz w:val="18"/>
          <w:szCs w:val="18"/>
          <w:rtl/>
        </w:rPr>
        <w:t xml:space="preserve">כאשר מסירים את הרובה (דבק המיועד לריצוף) אין לשפשף את התעלה באמצעות מברשת ברזל או כלי חד אחר. </w:t>
      </w:r>
    </w:p>
    <w:p w14:paraId="6339C63C" w14:textId="77777777" w:rsidR="00441C53" w:rsidRPr="00441C53" w:rsidRDefault="00441C53" w:rsidP="00441C53">
      <w:pPr>
        <w:pStyle w:val="ListParagraph"/>
        <w:numPr>
          <w:ilvl w:val="0"/>
          <w:numId w:val="2"/>
        </w:numPr>
        <w:bidi/>
        <w:rPr>
          <w:rFonts w:ascii="Tahoma" w:eastAsiaTheme="minorEastAsia" w:hAnsi="Tahoma" w:cs="Tahoma"/>
          <w:sz w:val="18"/>
          <w:szCs w:val="18"/>
        </w:rPr>
      </w:pPr>
      <w:r w:rsidRPr="00441C53">
        <w:rPr>
          <w:rFonts w:ascii="Tahoma" w:eastAsiaTheme="minorEastAsia" w:hAnsi="Tahoma" w:cs="Tahoma"/>
          <w:sz w:val="18"/>
          <w:szCs w:val="18"/>
          <w:rtl/>
        </w:rPr>
        <w:t xml:space="preserve">במהלך התקנת התעלה יש לכסותה על מנת למנוע לכלוך ומגע של התעלה עם חומרים מזיקים אחרים. </w:t>
      </w:r>
    </w:p>
    <w:p w14:paraId="3A76CE07" w14:textId="77777777" w:rsidR="00441C53" w:rsidRPr="00441C53" w:rsidRDefault="00441C53" w:rsidP="00441C53">
      <w:pPr>
        <w:bidi/>
        <w:rPr>
          <w:rFonts w:ascii="Tahoma" w:hAnsi="Tahoma" w:cs="Tahoma"/>
          <w:sz w:val="18"/>
          <w:szCs w:val="18"/>
          <w:lang w:bidi="he-IL"/>
        </w:rPr>
      </w:pPr>
    </w:p>
    <w:p w14:paraId="5E246A6F" w14:textId="4FE74BB8" w:rsidR="00441C53" w:rsidRPr="00441C53" w:rsidRDefault="00441C53" w:rsidP="00441C53">
      <w:pPr>
        <w:bidi/>
        <w:rPr>
          <w:rFonts w:ascii="Tahoma" w:hAnsi="Tahoma" w:cs="Tahoma"/>
          <w:sz w:val="18"/>
          <w:szCs w:val="18"/>
          <w:rtl/>
          <w:lang w:bidi="he-IL"/>
        </w:rPr>
      </w:pPr>
      <w:r w:rsidRPr="00441C53">
        <w:rPr>
          <w:rFonts w:ascii="Tahoma" w:hAnsi="Tahoma" w:cs="Tahoma"/>
          <w:sz w:val="18"/>
          <w:szCs w:val="18"/>
          <w:rtl/>
        </w:rPr>
        <w:t>החברה לא תישא באחריות לנזק שיגרם משימוש לא סביר ופעולה בניגוד להנחיות אלו.</w:t>
      </w:r>
    </w:p>
    <w:sectPr w:rsidR="00441C53" w:rsidRPr="00441C53" w:rsidSect="00F64D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95631" w14:textId="77777777" w:rsidR="00622DEB" w:rsidRDefault="00622DEB" w:rsidP="00F64D56">
      <w:r>
        <w:separator/>
      </w:r>
    </w:p>
  </w:endnote>
  <w:endnote w:type="continuationSeparator" w:id="0">
    <w:p w14:paraId="37C95632" w14:textId="77777777" w:rsidR="00622DEB" w:rsidRDefault="00622DEB" w:rsidP="00F64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ightShading-Accent1"/>
      <w:tblW w:w="0" w:type="auto"/>
      <w:tblInd w:w="108" w:type="dxa"/>
      <w:tblBorders>
        <w:top w:val="single" w:sz="8" w:space="0" w:color="8DB3E2" w:themeColor="text2" w:themeTint="66"/>
        <w:left w:val="single" w:sz="8" w:space="0" w:color="8DB3E2" w:themeColor="text2" w:themeTint="66"/>
        <w:bottom w:val="single" w:sz="8" w:space="0" w:color="8DB3E2" w:themeColor="text2" w:themeTint="66"/>
        <w:right w:val="single" w:sz="8" w:space="0" w:color="8DB3E2" w:themeColor="text2" w:themeTint="66"/>
        <w:insideV w:val="single" w:sz="8" w:space="0" w:color="8DB3E2" w:themeColor="text2" w:themeTint="66"/>
      </w:tblBorders>
      <w:shd w:val="clear" w:color="auto" w:fill="92CDDC" w:themeFill="accent5" w:themeFillTint="99"/>
      <w:tblLook w:val="0600" w:firstRow="0" w:lastRow="0" w:firstColumn="0" w:lastColumn="0" w:noHBand="1" w:noVBand="1"/>
    </w:tblPr>
    <w:tblGrid>
      <w:gridCol w:w="356"/>
      <w:gridCol w:w="8052"/>
    </w:tblGrid>
    <w:tr w:rsidR="00F64D56" w:rsidRPr="00485651" w14:paraId="37C95637" w14:textId="77777777" w:rsidTr="00E0259E">
      <w:tc>
        <w:tcPr>
          <w:tcW w:w="360" w:type="dxa"/>
          <w:tcBorders>
            <w:right w:val="single" w:sz="8" w:space="0" w:color="B8CCE4" w:themeColor="accent1" w:themeTint="66"/>
          </w:tcBorders>
          <w:shd w:val="clear" w:color="auto" w:fill="8DB3E2" w:themeFill="text2" w:themeFillTint="66"/>
        </w:tcPr>
        <w:p w14:paraId="37C95635" w14:textId="77777777" w:rsidR="00F64D56" w:rsidRPr="00485651" w:rsidRDefault="00F64D56" w:rsidP="00E0259E">
          <w:pPr>
            <w:rPr>
              <w:color w:val="FFFFFF" w:themeColor="background1"/>
              <w:szCs w:val="24"/>
            </w:rPr>
          </w:pPr>
          <w:r w:rsidRPr="00485651">
            <w:rPr>
              <w:rFonts w:ascii="Calibri" w:hAnsi="Calibri"/>
              <w:b/>
              <w:color w:val="FFFFFF" w:themeColor="background1"/>
            </w:rPr>
            <w:fldChar w:fldCharType="begin"/>
          </w:r>
          <w:r w:rsidRPr="00485651">
            <w:rPr>
              <w:rFonts w:ascii="Calibri" w:hAnsi="Calibri"/>
              <w:b/>
              <w:color w:val="FFFFFF" w:themeColor="background1"/>
              <w:sz w:val="24"/>
              <w:szCs w:val="24"/>
            </w:rPr>
            <w:instrText xml:space="preserve"> PAGE   \* MERGEFORMAT </w:instrText>
          </w:r>
          <w:r w:rsidRPr="00485651">
            <w:rPr>
              <w:rFonts w:ascii="Calibri" w:hAnsi="Calibri"/>
              <w:b/>
              <w:color w:val="FFFFFF" w:themeColor="background1"/>
            </w:rPr>
            <w:fldChar w:fldCharType="separate"/>
          </w:r>
          <w:r w:rsidR="00622DEB" w:rsidRPr="00622DEB">
            <w:rPr>
              <w:rFonts w:ascii="Calibri" w:hAnsi="Calibri"/>
              <w:b/>
              <w:noProof/>
              <w:color w:val="FFFFFF" w:themeColor="background1"/>
            </w:rPr>
            <w:t>2</w:t>
          </w:r>
          <w:r w:rsidRPr="00485651">
            <w:rPr>
              <w:rFonts w:ascii="Calibri" w:hAnsi="Calibri"/>
              <w:b/>
              <w:color w:val="FFFFFF" w:themeColor="background1"/>
            </w:rPr>
            <w:fldChar w:fldCharType="end"/>
          </w:r>
        </w:p>
      </w:tc>
      <w:tc>
        <w:tcPr>
          <w:tcW w:w="9108" w:type="dxa"/>
          <w:tcBorders>
            <w:top w:val="single" w:sz="8" w:space="0" w:color="B8CCE4" w:themeColor="accent1" w:themeTint="66"/>
            <w:left w:val="single" w:sz="8" w:space="0" w:color="B8CCE4" w:themeColor="accent1" w:themeTint="66"/>
            <w:bottom w:val="single" w:sz="8" w:space="0" w:color="B8CCE4" w:themeColor="accent1" w:themeTint="66"/>
            <w:right w:val="single" w:sz="8" w:space="0" w:color="B8CCE4" w:themeColor="accent1" w:themeTint="66"/>
          </w:tcBorders>
          <w:shd w:val="clear" w:color="auto" w:fill="B8CCE4" w:themeFill="accent1" w:themeFillTint="66"/>
        </w:tcPr>
        <w:p w14:paraId="37C95636" w14:textId="77777777" w:rsidR="00F64D56" w:rsidRPr="00485651" w:rsidRDefault="00850A36" w:rsidP="00E0259E">
          <w:pPr>
            <w:rPr>
              <w:color w:val="FFFFFF" w:themeColor="background1"/>
            </w:rPr>
          </w:pPr>
          <w:sdt>
            <w:sdtPr>
              <w:rPr>
                <w:rFonts w:ascii="Calibri" w:hAnsi="Calibri"/>
                <w:b/>
                <w:bCs/>
                <w:caps/>
                <w:color w:val="FFFFFF" w:themeColor="background1"/>
              </w:rPr>
              <w:alias w:val="Title"/>
              <w:id w:val="179907874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F64D56" w:rsidRPr="00485651">
                <w:rPr>
                  <w:rFonts w:ascii="Calibri" w:hAnsi="Calibri"/>
                  <w:b/>
                  <w:bCs/>
                  <w:caps/>
                  <w:color w:val="FFFFFF" w:themeColor="background1"/>
                  <w:sz w:val="24"/>
                  <w:szCs w:val="24"/>
                </w:rPr>
                <w:t>Type the document title</w:t>
              </w:r>
            </w:sdtContent>
          </w:sdt>
        </w:p>
      </w:tc>
    </w:tr>
  </w:tbl>
  <w:p w14:paraId="37C95638" w14:textId="77777777" w:rsidR="00F64D56" w:rsidRDefault="00F64D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95639" w14:textId="77777777" w:rsidR="00F64D56" w:rsidRDefault="00F64D56" w:rsidP="00F64D56">
    <w:pPr>
      <w:pStyle w:val="Footer"/>
      <w:ind w:left="-1134" w:right="-1339" w:hanging="284"/>
    </w:pPr>
    <w:r>
      <w:rPr>
        <w:noProof/>
        <w:lang w:bidi="he-IL"/>
      </w:rPr>
      <w:drawing>
        <wp:inline distT="0" distB="0" distL="0" distR="0" wp14:anchorId="37C9563E" wp14:editId="37C9563F">
          <wp:extent cx="7150104" cy="1447800"/>
          <wp:effectExtent l="0" t="0" r="1270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onyA4FooterHe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6588" cy="1451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9563B" w14:textId="77777777" w:rsidR="00F64D56" w:rsidRDefault="00F64D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9562F" w14:textId="77777777" w:rsidR="00622DEB" w:rsidRDefault="00622DEB" w:rsidP="00F64D56">
      <w:r>
        <w:separator/>
      </w:r>
    </w:p>
  </w:footnote>
  <w:footnote w:type="continuationSeparator" w:id="0">
    <w:p w14:paraId="37C95630" w14:textId="77777777" w:rsidR="00622DEB" w:rsidRDefault="00622DEB" w:rsidP="00F64D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95633" w14:textId="77777777" w:rsidR="00F64D56" w:rsidRDefault="00F64D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95634" w14:textId="77777777" w:rsidR="00F64D56" w:rsidRDefault="00F64D56" w:rsidP="00F64D56">
    <w:pPr>
      <w:pStyle w:val="Header"/>
      <w:ind w:left="6480"/>
    </w:pPr>
    <w:r>
      <w:t xml:space="preserve">                                                                                                         </w:t>
    </w:r>
    <w:r>
      <w:rPr>
        <w:noProof/>
        <w:lang w:bidi="he-IL"/>
      </w:rPr>
      <w:drawing>
        <wp:inline distT="0" distB="0" distL="0" distR="0" wp14:anchorId="37C9563C" wp14:editId="37C9563D">
          <wp:extent cx="1910419" cy="84564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hon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0419" cy="8456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9563A" w14:textId="77777777" w:rsidR="00F64D56" w:rsidRDefault="00F64D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0E1CA7"/>
    <w:multiLevelType w:val="hybridMultilevel"/>
    <w:tmpl w:val="343C6492"/>
    <w:lvl w:ilvl="0" w:tplc="13805EDA">
      <w:start w:val="1"/>
      <w:numFmt w:val="decimal"/>
      <w:lvlText w:val="%1."/>
      <w:lvlJc w:val="left"/>
      <w:pPr>
        <w:tabs>
          <w:tab w:val="num" w:pos="855"/>
        </w:tabs>
        <w:ind w:left="855" w:right="855" w:hanging="495"/>
      </w:pPr>
      <w:rPr>
        <w:rFonts w:hint="cs"/>
        <w:sz w:val="40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" w15:restartNumberingAfterBreak="0">
    <w:nsid w:val="7F497214"/>
    <w:multiLevelType w:val="hybridMultilevel"/>
    <w:tmpl w:val="0AF0F646"/>
    <w:lvl w:ilvl="0" w:tplc="2D8487C4">
      <w:start w:val="30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2539081">
    <w:abstractNumId w:val="0"/>
  </w:num>
  <w:num w:numId="2" w16cid:durableId="13880637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2DEB"/>
    <w:rsid w:val="00004747"/>
    <w:rsid w:val="001317D1"/>
    <w:rsid w:val="002C75F4"/>
    <w:rsid w:val="00441C53"/>
    <w:rsid w:val="00622DEB"/>
    <w:rsid w:val="008502D2"/>
    <w:rsid w:val="00850A36"/>
    <w:rsid w:val="00976681"/>
    <w:rsid w:val="00F64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C95614"/>
  <w14:defaultImageDpi w14:val="300"/>
  <w15:docId w15:val="{94748279-5F95-43C2-973A-968F30559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622DEB"/>
    <w:pPr>
      <w:keepNext/>
      <w:bidi/>
      <w:ind w:right="2880"/>
      <w:jc w:val="center"/>
      <w:outlineLvl w:val="0"/>
    </w:pPr>
    <w:rPr>
      <w:rFonts w:ascii="Tahoma" w:eastAsia="Times New Roman" w:hAnsi="Tahoma" w:cs="Tahoma"/>
      <w:b/>
      <w:bCs/>
      <w:sz w:val="40"/>
      <w:szCs w:val="40"/>
      <w:lang w:eastAsia="he-IL" w:bidi="he-IL"/>
    </w:rPr>
  </w:style>
  <w:style w:type="paragraph" w:styleId="Heading2">
    <w:name w:val="heading 2"/>
    <w:basedOn w:val="Normal"/>
    <w:next w:val="Normal"/>
    <w:link w:val="Heading2Char"/>
    <w:qFormat/>
    <w:rsid w:val="00622DEB"/>
    <w:pPr>
      <w:keepNext/>
      <w:bidi/>
      <w:outlineLvl w:val="1"/>
    </w:pPr>
    <w:rPr>
      <w:rFonts w:ascii="Arial" w:eastAsia="Times New Roman" w:hAnsi="Arial" w:cs="Arial"/>
      <w:sz w:val="28"/>
      <w:szCs w:val="28"/>
      <w:lang w:eastAsia="he-IL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64D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64D56"/>
  </w:style>
  <w:style w:type="paragraph" w:styleId="Footer">
    <w:name w:val="footer"/>
    <w:basedOn w:val="Normal"/>
    <w:link w:val="FooterChar"/>
    <w:uiPriority w:val="99"/>
    <w:unhideWhenUsed/>
    <w:rsid w:val="00F64D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4D56"/>
  </w:style>
  <w:style w:type="table" w:styleId="LightShading-Accent1">
    <w:name w:val="Light Shading Accent 1"/>
    <w:basedOn w:val="TableNormal"/>
    <w:uiPriority w:val="60"/>
    <w:rsid w:val="00F64D5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64D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D5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622DEB"/>
    <w:rPr>
      <w:rFonts w:ascii="Tahoma" w:eastAsia="Times New Roman" w:hAnsi="Tahoma" w:cs="Tahoma"/>
      <w:b/>
      <w:bCs/>
      <w:sz w:val="40"/>
      <w:szCs w:val="40"/>
      <w:lang w:eastAsia="he-IL" w:bidi="he-IL"/>
    </w:rPr>
  </w:style>
  <w:style w:type="character" w:customStyle="1" w:styleId="Heading2Char">
    <w:name w:val="Heading 2 Char"/>
    <w:basedOn w:val="DefaultParagraphFont"/>
    <w:link w:val="Heading2"/>
    <w:rsid w:val="00622DEB"/>
    <w:rPr>
      <w:rFonts w:ascii="Arial" w:eastAsia="Times New Roman" w:hAnsi="Arial" w:cs="Arial"/>
      <w:sz w:val="28"/>
      <w:szCs w:val="28"/>
      <w:lang w:eastAsia="he-IL" w:bidi="he-IL"/>
    </w:rPr>
  </w:style>
  <w:style w:type="paragraph" w:styleId="ListParagraph">
    <w:name w:val="List Paragraph"/>
    <w:basedOn w:val="Normal"/>
    <w:uiPriority w:val="34"/>
    <w:qFormat/>
    <w:rsid w:val="00441C53"/>
    <w:pPr>
      <w:ind w:left="720"/>
    </w:pPr>
    <w:rPr>
      <w:rFonts w:ascii="Calibri" w:eastAsiaTheme="minorHAnsi" w:hAnsi="Calibri" w:cs="Calibri"/>
      <w:sz w:val="22"/>
      <w:szCs w:val="22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4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cid:B4D731C4-E3C8-433E-8354-594C7F73F039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D6B75C-F267-4A45-B10D-A994EE506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159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שי מילצקי</dc:creator>
  <cp:lastModifiedBy>שי מילצקי</cp:lastModifiedBy>
  <cp:revision>7</cp:revision>
  <dcterms:created xsi:type="dcterms:W3CDTF">2017-08-21T11:00:00Z</dcterms:created>
  <dcterms:modified xsi:type="dcterms:W3CDTF">2023-01-24T12:06:00Z</dcterms:modified>
</cp:coreProperties>
</file>